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A Bill to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Abolish Plea Bargaining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60"/>
        <w:gridCol w:w="9000"/>
        <w:tblGridChange w:id="0">
          <w:tblGrid>
            <w:gridCol w:w="360"/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0" w:firstLine="0"/>
              <w:rPr/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BE IT ENACTED BY THE CONGRESS HERE ASSEMBLED THAT: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14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SECTION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  <w:tab/>
              <w:t xml:space="preserve">The practice of plea bargaining in criminal cases is hereby   abolished.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14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SECTION 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  <w:tab/>
              <w:t xml:space="preserve">Plea bargaining shall be defined as an arrangement between a prosecutor and a defendant whereby the defendant pleads guilty to a lesser charge in exchange for a more lenient sentence.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14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SECTION 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The Department of Justice will oversee the implementation of this bill.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14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SECTION 4.</w:t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This Bill will go into effect on January 1, 2028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1440" w:firstLine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SECTION 5.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All laws in conflict with this legislation are hereby declared null and void.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hanging="1440"/>
        <w:rPr>
          <w:rFonts w:ascii="Calibri" w:cs="Calibri" w:eastAsia="Calibri" w:hAnsi="Calibri"/>
          <w:b w:val="0"/>
          <w:bCs w:val="0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2"/>
          <w:szCs w:val="22"/>
          <w:vertAlign w:val="baseline"/>
          <w:rtl w:val="0"/>
        </w:rPr>
        <w:t xml:space="preserve">Introduced for Congressional Debate by NSDA.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1008" w:left="1727.999999999999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18"/>
        <w:szCs w:val="18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Calibri" w:cs="Calibri" w:eastAsia="Calibri" w:hAnsi="Calibri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3bT4VlRrLSLmUJoX9OVpgkqseQ==">CgMxLjA4AHIhMUlvNTI4WVpVU2pzUy1ERVBvMHRBYlVmb1gyajZOVG5H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